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2C1BD" w14:textId="77777777" w:rsidR="00A007DF" w:rsidRPr="007B1CE1" w:rsidRDefault="00A007DF" w:rsidP="00A007DF">
      <w:pPr>
        <w:spacing w:after="0" w:line="240" w:lineRule="auto"/>
        <w:jc w:val="center"/>
        <w:rPr>
          <w:b/>
          <w:szCs w:val="28"/>
        </w:rPr>
      </w:pPr>
      <w:r w:rsidRPr="007B1CE1">
        <w:rPr>
          <w:b/>
          <w:szCs w:val="28"/>
        </w:rPr>
        <w:t>GÓP Ý DỰ THẢO THÔNG TƯ</w:t>
      </w:r>
    </w:p>
    <w:p w14:paraId="256F4C33" w14:textId="77777777" w:rsidR="00A007DF" w:rsidRPr="007B1CE1" w:rsidRDefault="00A007DF" w:rsidP="00A007DF">
      <w:pPr>
        <w:spacing w:after="0" w:line="240" w:lineRule="auto"/>
        <w:jc w:val="center"/>
        <w:rPr>
          <w:b/>
          <w:color w:val="000000"/>
          <w:szCs w:val="28"/>
        </w:rPr>
      </w:pPr>
      <w:r w:rsidRPr="007B1CE1">
        <w:rPr>
          <w:b/>
          <w:bCs/>
          <w:spacing w:val="-2"/>
          <w:szCs w:val="28"/>
        </w:rPr>
        <w:t xml:space="preserve">Quy định </w:t>
      </w:r>
      <w:r w:rsidRPr="007B1CE1">
        <w:rPr>
          <w:b/>
          <w:color w:val="000000"/>
          <w:szCs w:val="28"/>
        </w:rPr>
        <w:t xml:space="preserve">chế độ trả lương dạy thừa giờ đối với nhà giáo </w:t>
      </w:r>
    </w:p>
    <w:p w14:paraId="39CB0084" w14:textId="77777777" w:rsidR="00A007DF" w:rsidRPr="007B1CE1" w:rsidRDefault="00A007DF" w:rsidP="00A007DF">
      <w:pPr>
        <w:spacing w:after="0" w:line="240" w:lineRule="auto"/>
        <w:jc w:val="center"/>
        <w:rPr>
          <w:szCs w:val="28"/>
        </w:rPr>
      </w:pPr>
      <w:r w:rsidRPr="007B1CE1">
        <w:rPr>
          <w:b/>
          <w:color w:val="000000"/>
          <w:szCs w:val="28"/>
        </w:rPr>
        <w:t>trong các cơ sở giáo dục công lập</w:t>
      </w:r>
    </w:p>
    <w:p w14:paraId="3BDFA670" w14:textId="10BADA64" w:rsidR="00A007DF" w:rsidRPr="0002295F" w:rsidRDefault="00A007DF" w:rsidP="0002295F">
      <w:pPr>
        <w:tabs>
          <w:tab w:val="left" w:pos="993"/>
        </w:tabs>
        <w:spacing w:after="0" w:line="240" w:lineRule="auto"/>
        <w:jc w:val="center"/>
        <w:rPr>
          <w:i/>
          <w:szCs w:val="28"/>
        </w:rPr>
      </w:pPr>
      <w:bookmarkStart w:id="0" w:name="_GoBack"/>
      <w:bookmarkEnd w:id="0"/>
    </w:p>
    <w:p w14:paraId="0E00F267" w14:textId="66B2B805" w:rsidR="00A007DF" w:rsidRDefault="00A007DF" w:rsidP="00A007DF">
      <w:pPr>
        <w:tabs>
          <w:tab w:val="left" w:pos="993"/>
        </w:tabs>
        <w:spacing w:after="0" w:line="240" w:lineRule="auto"/>
        <w:ind w:firstLine="709"/>
        <w:jc w:val="both"/>
        <w:rPr>
          <w:b/>
          <w:szCs w:val="28"/>
        </w:rPr>
      </w:pPr>
      <w:r w:rsidRPr="007B1CE1">
        <w:rPr>
          <w:b/>
          <w:szCs w:val="28"/>
        </w:rPr>
        <w:t>1. Các khó khăn, vướng mắc khi thực hiện các quy định về trả tiền lương dạy thêm giờ (Thông tư liên tịch số 07/2013/TTLT-BGDĐT-BNV-BTC)</w:t>
      </w:r>
    </w:p>
    <w:p w14:paraId="714A95EB" w14:textId="0923610E" w:rsidR="0002295F" w:rsidRPr="0002295F" w:rsidRDefault="00A2180D" w:rsidP="00A007DF">
      <w:pPr>
        <w:tabs>
          <w:tab w:val="left" w:pos="993"/>
        </w:tabs>
        <w:spacing w:after="0" w:line="240" w:lineRule="auto"/>
        <w:ind w:firstLine="709"/>
        <w:jc w:val="both"/>
        <w:rPr>
          <w:szCs w:val="28"/>
        </w:rPr>
      </w:pPr>
      <w:r>
        <w:rPr>
          <w:szCs w:val="28"/>
        </w:rPr>
        <w:t>Không có ý kiến</w:t>
      </w:r>
    </w:p>
    <w:p w14:paraId="5560197B" w14:textId="77777777" w:rsidR="00A007DF" w:rsidRPr="007B1CE1" w:rsidRDefault="00A007DF" w:rsidP="00A007DF">
      <w:pPr>
        <w:tabs>
          <w:tab w:val="left" w:pos="993"/>
        </w:tabs>
        <w:spacing w:before="120" w:line="240" w:lineRule="auto"/>
        <w:ind w:firstLine="709"/>
        <w:jc w:val="both"/>
        <w:rPr>
          <w:b/>
          <w:szCs w:val="28"/>
        </w:rPr>
      </w:pPr>
      <w:r w:rsidRPr="007B1CE1">
        <w:rPr>
          <w:b/>
          <w:szCs w:val="28"/>
        </w:rPr>
        <w:t>2. Nội dung góp ý cụ thể đối với dự thảo Thông tư</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150"/>
        <w:gridCol w:w="992"/>
        <w:gridCol w:w="1084"/>
        <w:gridCol w:w="2743"/>
      </w:tblGrid>
      <w:tr w:rsidR="00A007DF" w:rsidRPr="00474174" w14:paraId="5C81F94A" w14:textId="77777777" w:rsidTr="0002295F">
        <w:trPr>
          <w:trHeight w:val="666"/>
          <w:tblHeader/>
        </w:trPr>
        <w:tc>
          <w:tcPr>
            <w:tcW w:w="670" w:type="dxa"/>
            <w:vMerge w:val="restart"/>
            <w:shd w:val="clear" w:color="auto" w:fill="auto"/>
            <w:vAlign w:val="center"/>
          </w:tcPr>
          <w:p w14:paraId="62BE6922"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STT</w:t>
            </w:r>
          </w:p>
        </w:tc>
        <w:tc>
          <w:tcPr>
            <w:tcW w:w="4150" w:type="dxa"/>
            <w:vMerge w:val="restart"/>
            <w:shd w:val="clear" w:color="auto" w:fill="auto"/>
            <w:vAlign w:val="center"/>
          </w:tcPr>
          <w:p w14:paraId="3DD43B4E"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Nội dung dự kiến quy định</w:t>
            </w:r>
          </w:p>
        </w:tc>
        <w:tc>
          <w:tcPr>
            <w:tcW w:w="2076" w:type="dxa"/>
            <w:gridSpan w:val="2"/>
            <w:shd w:val="clear" w:color="auto" w:fill="auto"/>
            <w:vAlign w:val="center"/>
          </w:tcPr>
          <w:p w14:paraId="11F40624"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Số người đề nghị điều chỉnh, bổ sung</w:t>
            </w:r>
          </w:p>
        </w:tc>
        <w:tc>
          <w:tcPr>
            <w:tcW w:w="2743" w:type="dxa"/>
            <w:vMerge w:val="restart"/>
            <w:shd w:val="clear" w:color="auto" w:fill="auto"/>
            <w:vAlign w:val="center"/>
          </w:tcPr>
          <w:p w14:paraId="599C4EA5"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Nội dung kiến nghị điều chỉnh, bổ sung</w:t>
            </w:r>
          </w:p>
        </w:tc>
      </w:tr>
      <w:tr w:rsidR="00A007DF" w:rsidRPr="00474174" w14:paraId="053A0606" w14:textId="77777777" w:rsidTr="0002295F">
        <w:trPr>
          <w:trHeight w:val="635"/>
          <w:tblHeader/>
        </w:trPr>
        <w:tc>
          <w:tcPr>
            <w:tcW w:w="670" w:type="dxa"/>
            <w:vMerge/>
            <w:shd w:val="clear" w:color="auto" w:fill="auto"/>
            <w:vAlign w:val="center"/>
          </w:tcPr>
          <w:p w14:paraId="01457490" w14:textId="77777777" w:rsidR="00A007DF" w:rsidRPr="00474174" w:rsidRDefault="00A007DF" w:rsidP="00547067">
            <w:pPr>
              <w:tabs>
                <w:tab w:val="left" w:pos="993"/>
              </w:tabs>
              <w:spacing w:after="0" w:line="240" w:lineRule="auto"/>
              <w:jc w:val="center"/>
              <w:rPr>
                <w:b/>
                <w:sz w:val="24"/>
                <w:szCs w:val="24"/>
              </w:rPr>
            </w:pPr>
          </w:p>
        </w:tc>
        <w:tc>
          <w:tcPr>
            <w:tcW w:w="4150" w:type="dxa"/>
            <w:vMerge/>
            <w:shd w:val="clear" w:color="auto" w:fill="auto"/>
            <w:vAlign w:val="center"/>
          </w:tcPr>
          <w:p w14:paraId="60956245" w14:textId="77777777" w:rsidR="00A007DF" w:rsidRPr="00474174" w:rsidRDefault="00A007DF" w:rsidP="00547067">
            <w:pPr>
              <w:tabs>
                <w:tab w:val="left" w:pos="993"/>
              </w:tabs>
              <w:spacing w:after="0" w:line="240" w:lineRule="auto"/>
              <w:jc w:val="center"/>
              <w:rPr>
                <w:b/>
                <w:sz w:val="24"/>
                <w:szCs w:val="24"/>
              </w:rPr>
            </w:pPr>
          </w:p>
        </w:tc>
        <w:tc>
          <w:tcPr>
            <w:tcW w:w="992" w:type="dxa"/>
            <w:shd w:val="clear" w:color="auto" w:fill="auto"/>
            <w:vAlign w:val="center"/>
          </w:tcPr>
          <w:p w14:paraId="5DE7E67B"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Đồng ý</w:t>
            </w:r>
          </w:p>
        </w:tc>
        <w:tc>
          <w:tcPr>
            <w:tcW w:w="1084" w:type="dxa"/>
            <w:shd w:val="clear" w:color="auto" w:fill="auto"/>
            <w:vAlign w:val="center"/>
          </w:tcPr>
          <w:p w14:paraId="2481D3D4" w14:textId="77777777" w:rsidR="00A007DF" w:rsidRPr="00474174" w:rsidRDefault="00A007DF" w:rsidP="00547067">
            <w:pPr>
              <w:tabs>
                <w:tab w:val="left" w:pos="993"/>
              </w:tabs>
              <w:spacing w:after="0" w:line="240" w:lineRule="auto"/>
              <w:jc w:val="center"/>
              <w:rPr>
                <w:b/>
                <w:sz w:val="24"/>
                <w:szCs w:val="24"/>
              </w:rPr>
            </w:pPr>
            <w:r w:rsidRPr="00474174">
              <w:rPr>
                <w:b/>
                <w:sz w:val="24"/>
                <w:szCs w:val="24"/>
              </w:rPr>
              <w:t>Không đồng ý</w:t>
            </w:r>
          </w:p>
        </w:tc>
        <w:tc>
          <w:tcPr>
            <w:tcW w:w="2743" w:type="dxa"/>
            <w:vMerge/>
            <w:shd w:val="clear" w:color="auto" w:fill="auto"/>
            <w:vAlign w:val="center"/>
          </w:tcPr>
          <w:p w14:paraId="23A82902" w14:textId="77777777" w:rsidR="00A007DF" w:rsidRPr="00474174" w:rsidRDefault="00A007DF" w:rsidP="00547067">
            <w:pPr>
              <w:tabs>
                <w:tab w:val="left" w:pos="993"/>
              </w:tabs>
              <w:spacing w:after="0" w:line="240" w:lineRule="auto"/>
              <w:jc w:val="center"/>
              <w:rPr>
                <w:b/>
                <w:sz w:val="24"/>
                <w:szCs w:val="24"/>
              </w:rPr>
            </w:pPr>
          </w:p>
        </w:tc>
      </w:tr>
      <w:tr w:rsidR="00A007DF" w:rsidRPr="00474174" w14:paraId="52396DFA" w14:textId="77777777" w:rsidTr="0002295F">
        <w:trPr>
          <w:trHeight w:val="313"/>
        </w:trPr>
        <w:tc>
          <w:tcPr>
            <w:tcW w:w="670" w:type="dxa"/>
            <w:shd w:val="clear" w:color="auto" w:fill="auto"/>
            <w:vAlign w:val="center"/>
          </w:tcPr>
          <w:p w14:paraId="1E05D4EC" w14:textId="77777777" w:rsidR="00A007DF" w:rsidRPr="00474174" w:rsidRDefault="00A007DF" w:rsidP="0002295F">
            <w:pPr>
              <w:tabs>
                <w:tab w:val="left" w:pos="993"/>
              </w:tabs>
              <w:spacing w:after="0" w:line="240" w:lineRule="auto"/>
              <w:jc w:val="center"/>
              <w:rPr>
                <w:sz w:val="24"/>
                <w:szCs w:val="24"/>
              </w:rPr>
            </w:pPr>
            <w:r w:rsidRPr="00474174">
              <w:rPr>
                <w:sz w:val="24"/>
                <w:szCs w:val="24"/>
              </w:rPr>
              <w:t>1</w:t>
            </w:r>
          </w:p>
        </w:tc>
        <w:tc>
          <w:tcPr>
            <w:tcW w:w="4150" w:type="dxa"/>
            <w:shd w:val="clear" w:color="auto" w:fill="auto"/>
          </w:tcPr>
          <w:p w14:paraId="60C612D0" w14:textId="77777777" w:rsidR="00A007DF" w:rsidRPr="00474174" w:rsidRDefault="00A007DF" w:rsidP="00547067">
            <w:pPr>
              <w:tabs>
                <w:tab w:val="left" w:pos="993"/>
              </w:tabs>
              <w:spacing w:after="0" w:line="240" w:lineRule="auto"/>
              <w:jc w:val="both"/>
              <w:rPr>
                <w:sz w:val="24"/>
                <w:szCs w:val="24"/>
              </w:rPr>
            </w:pPr>
            <w:r w:rsidRPr="00474174">
              <w:rPr>
                <w:sz w:val="24"/>
                <w:szCs w:val="24"/>
              </w:rPr>
              <w:t>Phạm vi điều chỉnh</w:t>
            </w:r>
          </w:p>
        </w:tc>
        <w:tc>
          <w:tcPr>
            <w:tcW w:w="992" w:type="dxa"/>
            <w:shd w:val="clear" w:color="auto" w:fill="auto"/>
            <w:vAlign w:val="center"/>
          </w:tcPr>
          <w:p w14:paraId="29CC8E6E" w14:textId="4BD2F72B" w:rsidR="00A007DF" w:rsidRPr="00474174" w:rsidRDefault="00A2180D" w:rsidP="0002295F">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2780D5C6" w14:textId="6088910F" w:rsidR="00A007DF" w:rsidRPr="00474174" w:rsidRDefault="00A2180D" w:rsidP="0002295F">
            <w:pPr>
              <w:tabs>
                <w:tab w:val="left" w:pos="993"/>
              </w:tabs>
              <w:spacing w:after="0" w:line="240" w:lineRule="auto"/>
              <w:jc w:val="center"/>
              <w:rPr>
                <w:sz w:val="24"/>
                <w:szCs w:val="24"/>
              </w:rPr>
            </w:pPr>
            <w:r>
              <w:rPr>
                <w:sz w:val="24"/>
                <w:szCs w:val="24"/>
              </w:rPr>
              <w:t>0</w:t>
            </w:r>
          </w:p>
        </w:tc>
        <w:tc>
          <w:tcPr>
            <w:tcW w:w="2743" w:type="dxa"/>
            <w:shd w:val="clear" w:color="auto" w:fill="auto"/>
          </w:tcPr>
          <w:p w14:paraId="1495CF2B" w14:textId="77777777" w:rsidR="00A007DF" w:rsidRPr="00474174" w:rsidRDefault="00A007DF" w:rsidP="00547067">
            <w:pPr>
              <w:tabs>
                <w:tab w:val="left" w:pos="993"/>
              </w:tabs>
              <w:spacing w:after="0" w:line="240" w:lineRule="auto"/>
              <w:jc w:val="both"/>
              <w:rPr>
                <w:sz w:val="24"/>
                <w:szCs w:val="24"/>
              </w:rPr>
            </w:pPr>
          </w:p>
        </w:tc>
      </w:tr>
      <w:tr w:rsidR="00A007DF" w:rsidRPr="00474174" w14:paraId="14788ACC" w14:textId="77777777" w:rsidTr="0002295F">
        <w:trPr>
          <w:trHeight w:val="313"/>
        </w:trPr>
        <w:tc>
          <w:tcPr>
            <w:tcW w:w="670" w:type="dxa"/>
            <w:shd w:val="clear" w:color="auto" w:fill="auto"/>
            <w:vAlign w:val="center"/>
          </w:tcPr>
          <w:p w14:paraId="003CE2FF" w14:textId="77777777" w:rsidR="00A007DF" w:rsidRPr="00474174" w:rsidRDefault="00A007DF" w:rsidP="0002295F">
            <w:pPr>
              <w:tabs>
                <w:tab w:val="left" w:pos="993"/>
              </w:tabs>
              <w:spacing w:after="0" w:line="240" w:lineRule="auto"/>
              <w:jc w:val="center"/>
              <w:rPr>
                <w:sz w:val="24"/>
                <w:szCs w:val="24"/>
              </w:rPr>
            </w:pPr>
            <w:r w:rsidRPr="00474174">
              <w:rPr>
                <w:sz w:val="24"/>
                <w:szCs w:val="24"/>
              </w:rPr>
              <w:t>2</w:t>
            </w:r>
          </w:p>
        </w:tc>
        <w:tc>
          <w:tcPr>
            <w:tcW w:w="4150" w:type="dxa"/>
            <w:shd w:val="clear" w:color="auto" w:fill="auto"/>
          </w:tcPr>
          <w:p w14:paraId="3ADCF594" w14:textId="77777777" w:rsidR="00A007DF" w:rsidRPr="00474174" w:rsidRDefault="00A007DF" w:rsidP="00547067">
            <w:pPr>
              <w:tabs>
                <w:tab w:val="left" w:pos="993"/>
              </w:tabs>
              <w:spacing w:after="0" w:line="240" w:lineRule="auto"/>
              <w:jc w:val="both"/>
              <w:rPr>
                <w:sz w:val="24"/>
                <w:szCs w:val="24"/>
              </w:rPr>
            </w:pPr>
            <w:r w:rsidRPr="00474174">
              <w:rPr>
                <w:sz w:val="24"/>
                <w:szCs w:val="24"/>
              </w:rPr>
              <w:t>Đối tượng áp dụng</w:t>
            </w:r>
          </w:p>
        </w:tc>
        <w:tc>
          <w:tcPr>
            <w:tcW w:w="992" w:type="dxa"/>
            <w:shd w:val="clear" w:color="auto" w:fill="auto"/>
            <w:vAlign w:val="center"/>
          </w:tcPr>
          <w:p w14:paraId="49C5F74C" w14:textId="2A38EB7B" w:rsidR="00A007DF" w:rsidRPr="00474174" w:rsidRDefault="00A2180D" w:rsidP="0002295F">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4AAD003E" w14:textId="77777777" w:rsidR="00A007DF" w:rsidRPr="00474174" w:rsidRDefault="00A007DF" w:rsidP="0002295F">
            <w:pPr>
              <w:tabs>
                <w:tab w:val="left" w:pos="993"/>
              </w:tabs>
              <w:spacing w:after="0" w:line="240" w:lineRule="auto"/>
              <w:jc w:val="center"/>
              <w:rPr>
                <w:sz w:val="24"/>
                <w:szCs w:val="24"/>
              </w:rPr>
            </w:pPr>
          </w:p>
        </w:tc>
        <w:tc>
          <w:tcPr>
            <w:tcW w:w="2743" w:type="dxa"/>
            <w:shd w:val="clear" w:color="auto" w:fill="auto"/>
          </w:tcPr>
          <w:p w14:paraId="69EF17FF" w14:textId="77777777" w:rsidR="00A007DF" w:rsidRPr="00474174" w:rsidRDefault="00A007DF" w:rsidP="00547067">
            <w:pPr>
              <w:tabs>
                <w:tab w:val="left" w:pos="993"/>
              </w:tabs>
              <w:spacing w:after="0" w:line="240" w:lineRule="auto"/>
              <w:jc w:val="both"/>
              <w:rPr>
                <w:sz w:val="24"/>
                <w:szCs w:val="24"/>
              </w:rPr>
            </w:pPr>
          </w:p>
        </w:tc>
      </w:tr>
      <w:tr w:rsidR="00A007DF" w:rsidRPr="00474174" w14:paraId="7ABF2D47" w14:textId="77777777" w:rsidTr="0002295F">
        <w:trPr>
          <w:trHeight w:val="313"/>
        </w:trPr>
        <w:tc>
          <w:tcPr>
            <w:tcW w:w="670" w:type="dxa"/>
            <w:shd w:val="clear" w:color="auto" w:fill="auto"/>
            <w:vAlign w:val="center"/>
          </w:tcPr>
          <w:p w14:paraId="6F7182EE" w14:textId="77777777" w:rsidR="00A007DF" w:rsidRPr="00474174" w:rsidRDefault="00A007DF" w:rsidP="0002295F">
            <w:pPr>
              <w:tabs>
                <w:tab w:val="left" w:pos="993"/>
              </w:tabs>
              <w:spacing w:after="0" w:line="240" w:lineRule="auto"/>
              <w:jc w:val="center"/>
              <w:rPr>
                <w:sz w:val="24"/>
                <w:szCs w:val="24"/>
              </w:rPr>
            </w:pPr>
            <w:r w:rsidRPr="00474174">
              <w:rPr>
                <w:sz w:val="24"/>
                <w:szCs w:val="24"/>
              </w:rPr>
              <w:t>3</w:t>
            </w:r>
          </w:p>
        </w:tc>
        <w:tc>
          <w:tcPr>
            <w:tcW w:w="4150" w:type="dxa"/>
            <w:shd w:val="clear" w:color="auto" w:fill="auto"/>
          </w:tcPr>
          <w:p w14:paraId="70B8E7F5" w14:textId="77777777" w:rsidR="00A007DF" w:rsidRPr="00474174" w:rsidRDefault="00A007DF" w:rsidP="00547067">
            <w:pPr>
              <w:spacing w:after="0" w:line="240" w:lineRule="auto"/>
              <w:jc w:val="both"/>
              <w:rPr>
                <w:color w:val="000000"/>
                <w:sz w:val="24"/>
                <w:szCs w:val="24"/>
              </w:rPr>
            </w:pPr>
            <w:r w:rsidRPr="00474174">
              <w:rPr>
                <w:bCs/>
                <w:sz w:val="24"/>
                <w:szCs w:val="24"/>
              </w:rPr>
              <w:t xml:space="preserve">Điều chỉnh điều kiện chi trả chế độ thêm giờ: </w:t>
            </w:r>
            <w:r w:rsidRPr="00474174">
              <w:rPr>
                <w:sz w:val="24"/>
                <w:szCs w:val="24"/>
              </w:rPr>
              <w:t xml:space="preserve">Dự thảo Thông tư bỏ quy định về điều kiện chi trả chế độ thêm giờ cho nhà giáo tại khoản 6 Điều </w:t>
            </w:r>
            <w:r>
              <w:rPr>
                <w:sz w:val="24"/>
                <w:szCs w:val="24"/>
              </w:rPr>
              <w:t>3</w:t>
            </w:r>
            <w:r w:rsidRPr="00474174">
              <w:rPr>
                <w:sz w:val="24"/>
                <w:szCs w:val="24"/>
              </w:rPr>
              <w:t xml:space="preserve"> Thông tư liên tịch số 07, thay vào đó chỉ quy định tổng số giờ dạy tối đa trong một năm học mà mỗi cơ sở giáo dục được chi trả tiền lương dạy thêm giờ. Đồng thời, bổ sung thêm quy định tổng số giờ dạy thêm trong một năm học của tất cả nhà giáo không được cao hơn tổng số giờ dạy thêm giờ tối đa trong một năm học của cơ sở giáo dục; trường hợp môn học không thể bố trí đủ nhà giáo giảng dạy, nhà giáo phải dạy vượt quá số giờ tối đa được thanh toán cho một nhà giáo, thì người đứng đầu cơ sở giáo dục báo cáo cơ quản quản lý có thẩm quyền để thực hiện chi trả tiền lương dạy thêm giờ đối với nhà giáo. </w:t>
            </w:r>
          </w:p>
        </w:tc>
        <w:tc>
          <w:tcPr>
            <w:tcW w:w="992" w:type="dxa"/>
            <w:shd w:val="clear" w:color="auto" w:fill="auto"/>
            <w:vAlign w:val="center"/>
          </w:tcPr>
          <w:p w14:paraId="00A799D2" w14:textId="02CB3D7F" w:rsidR="00A007DF" w:rsidRPr="00474174" w:rsidRDefault="00A2180D" w:rsidP="0002295F">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38C4AB7C" w14:textId="37E97D11" w:rsidR="00A007DF" w:rsidRPr="00474174" w:rsidRDefault="00A2180D" w:rsidP="0002295F">
            <w:pPr>
              <w:tabs>
                <w:tab w:val="left" w:pos="993"/>
              </w:tabs>
              <w:spacing w:after="0" w:line="240" w:lineRule="auto"/>
              <w:jc w:val="center"/>
              <w:rPr>
                <w:sz w:val="24"/>
                <w:szCs w:val="24"/>
              </w:rPr>
            </w:pPr>
            <w:r>
              <w:rPr>
                <w:sz w:val="24"/>
                <w:szCs w:val="24"/>
              </w:rPr>
              <w:t>0</w:t>
            </w:r>
          </w:p>
        </w:tc>
        <w:tc>
          <w:tcPr>
            <w:tcW w:w="2743" w:type="dxa"/>
            <w:shd w:val="clear" w:color="auto" w:fill="auto"/>
          </w:tcPr>
          <w:p w14:paraId="6BF3959A" w14:textId="77777777" w:rsidR="00A007DF" w:rsidRPr="00474174" w:rsidRDefault="00A007DF" w:rsidP="00547067">
            <w:pPr>
              <w:tabs>
                <w:tab w:val="left" w:pos="993"/>
              </w:tabs>
              <w:spacing w:after="0" w:line="240" w:lineRule="auto"/>
              <w:jc w:val="both"/>
              <w:rPr>
                <w:sz w:val="24"/>
                <w:szCs w:val="24"/>
              </w:rPr>
            </w:pPr>
          </w:p>
        </w:tc>
      </w:tr>
      <w:tr w:rsidR="00A2180D" w:rsidRPr="00474174" w14:paraId="0456A5ED" w14:textId="77777777" w:rsidTr="0002295F">
        <w:trPr>
          <w:trHeight w:val="322"/>
        </w:trPr>
        <w:tc>
          <w:tcPr>
            <w:tcW w:w="670" w:type="dxa"/>
            <w:shd w:val="clear" w:color="auto" w:fill="auto"/>
            <w:vAlign w:val="center"/>
          </w:tcPr>
          <w:p w14:paraId="1338F235" w14:textId="77777777" w:rsidR="00A2180D" w:rsidRPr="00474174" w:rsidRDefault="00A2180D" w:rsidP="00A2180D">
            <w:pPr>
              <w:tabs>
                <w:tab w:val="left" w:pos="993"/>
              </w:tabs>
              <w:spacing w:after="0" w:line="240" w:lineRule="auto"/>
              <w:jc w:val="center"/>
              <w:rPr>
                <w:sz w:val="24"/>
                <w:szCs w:val="24"/>
              </w:rPr>
            </w:pPr>
            <w:r w:rsidRPr="00474174">
              <w:rPr>
                <w:sz w:val="24"/>
                <w:szCs w:val="24"/>
              </w:rPr>
              <w:t>4</w:t>
            </w:r>
          </w:p>
        </w:tc>
        <w:tc>
          <w:tcPr>
            <w:tcW w:w="4150" w:type="dxa"/>
            <w:shd w:val="clear" w:color="auto" w:fill="auto"/>
          </w:tcPr>
          <w:p w14:paraId="0AB0A703" w14:textId="77777777" w:rsidR="00A2180D" w:rsidRPr="00474174" w:rsidRDefault="00A2180D" w:rsidP="00A2180D">
            <w:pPr>
              <w:spacing w:after="0" w:line="240" w:lineRule="auto"/>
              <w:jc w:val="both"/>
              <w:rPr>
                <w:color w:val="000000"/>
                <w:sz w:val="24"/>
                <w:szCs w:val="24"/>
              </w:rPr>
            </w:pPr>
            <w:r w:rsidRPr="00474174">
              <w:rPr>
                <w:bCs/>
                <w:sz w:val="24"/>
                <w:szCs w:val="24"/>
              </w:rPr>
              <w:t xml:space="preserve">Điều chỉnh tổng số giờ dạy thêm trong một năm học đối với nhà giáo được chi trả tiền lương dạy thêm giờ: </w:t>
            </w:r>
            <w:r w:rsidRPr="00474174">
              <w:rPr>
                <w:spacing w:val="-2"/>
                <w:sz w:val="24"/>
                <w:szCs w:val="24"/>
              </w:rPr>
              <w:t xml:space="preserve">Thay vì quy định tổng số giờ dạy thêm được tính trả tiền lương dạy thêm giờ trong một năm học không quá số giờ làm thêm theo quy định của pháp luật như hiện hành, dự thảo Thông tư quy định chi tiết tổng số giờ được chi trả tiền lương dạy thêm giờ như sau: (1) đối với giáo viên mầm non không quá số giờ làm thêm theo quy định của pháp luật về lao động; (2) đối với nhà giáo khác không quá 150 giờ dạy. </w:t>
            </w:r>
          </w:p>
        </w:tc>
        <w:tc>
          <w:tcPr>
            <w:tcW w:w="992" w:type="dxa"/>
            <w:shd w:val="clear" w:color="auto" w:fill="auto"/>
            <w:vAlign w:val="center"/>
          </w:tcPr>
          <w:p w14:paraId="3603C3B4" w14:textId="6F0A7F8B" w:rsidR="00A2180D" w:rsidRPr="00474174" w:rsidRDefault="00A2180D" w:rsidP="00A2180D">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4977B146" w14:textId="00CBDFBA"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0FD89EF4" w14:textId="77777777" w:rsidR="00A2180D" w:rsidRPr="00474174" w:rsidRDefault="00A2180D" w:rsidP="00A2180D">
            <w:pPr>
              <w:tabs>
                <w:tab w:val="left" w:pos="993"/>
              </w:tabs>
              <w:spacing w:after="0" w:line="240" w:lineRule="auto"/>
              <w:jc w:val="both"/>
              <w:rPr>
                <w:sz w:val="24"/>
                <w:szCs w:val="24"/>
              </w:rPr>
            </w:pPr>
          </w:p>
        </w:tc>
      </w:tr>
      <w:tr w:rsidR="00A2180D" w:rsidRPr="00474174" w14:paraId="5F8DFC86" w14:textId="77777777" w:rsidTr="0002295F">
        <w:trPr>
          <w:trHeight w:val="313"/>
        </w:trPr>
        <w:tc>
          <w:tcPr>
            <w:tcW w:w="670" w:type="dxa"/>
            <w:shd w:val="clear" w:color="auto" w:fill="auto"/>
            <w:vAlign w:val="center"/>
          </w:tcPr>
          <w:p w14:paraId="0B2819D1" w14:textId="77777777" w:rsidR="00A2180D" w:rsidRPr="00474174" w:rsidRDefault="00A2180D" w:rsidP="00A2180D">
            <w:pPr>
              <w:tabs>
                <w:tab w:val="left" w:pos="993"/>
              </w:tabs>
              <w:spacing w:after="0" w:line="240" w:lineRule="auto"/>
              <w:jc w:val="center"/>
              <w:rPr>
                <w:sz w:val="24"/>
                <w:szCs w:val="24"/>
              </w:rPr>
            </w:pPr>
            <w:r w:rsidRPr="00474174">
              <w:rPr>
                <w:sz w:val="24"/>
                <w:szCs w:val="24"/>
              </w:rPr>
              <w:lastRenderedPageBreak/>
              <w:t>5</w:t>
            </w:r>
          </w:p>
        </w:tc>
        <w:tc>
          <w:tcPr>
            <w:tcW w:w="4150" w:type="dxa"/>
            <w:shd w:val="clear" w:color="auto" w:fill="auto"/>
          </w:tcPr>
          <w:p w14:paraId="1C731A8E" w14:textId="77777777" w:rsidR="00A2180D" w:rsidRPr="00474174" w:rsidRDefault="00A2180D" w:rsidP="00A2180D">
            <w:pPr>
              <w:tabs>
                <w:tab w:val="left" w:pos="993"/>
              </w:tabs>
              <w:spacing w:after="0" w:line="240" w:lineRule="auto"/>
              <w:jc w:val="both"/>
              <w:rPr>
                <w:sz w:val="24"/>
                <w:szCs w:val="24"/>
              </w:rPr>
            </w:pPr>
            <w:r w:rsidRPr="00474174">
              <w:rPr>
                <w:bCs/>
                <w:sz w:val="24"/>
                <w:szCs w:val="24"/>
              </w:rPr>
              <w:t xml:space="preserve">Bổ sung quy định về trách nhiệm chi trả tiền lương dạy thêm giờ đối với nhà giáo dạy liên trường hoặc biệt phái: </w:t>
            </w:r>
            <w:r w:rsidRPr="00474174">
              <w:rPr>
                <w:sz w:val="24"/>
                <w:szCs w:val="24"/>
              </w:rPr>
              <w:t xml:space="preserve">Theo đó, lương dạy thêm giờ của nhà giáo được cơ quan có thẩm quyền cử đi biệt phái do cơ sở giáo dục mà nhà giáo đến biệt phái chi trả. Tiền lương dạy thêm giờ của nhà giáo được cơ quan có thẩm quyền cử đi dạy liên trường do cơ sở giáo dục mà nhà giáo đến dạy liên trường chi trả. </w:t>
            </w:r>
            <w:r w:rsidRPr="00474174">
              <w:rPr>
                <w:color w:val="000000"/>
                <w:sz w:val="24"/>
                <w:szCs w:val="24"/>
              </w:rPr>
              <w:t>Trường hợp nhà giáo được cử dạy liên trường đồng thời từ 03 cơ sở giáo dục trở lên (bao gồm cả cơ sở giáo dục nơi nhà giáo công tác) thì tiền lương dạy thêm giờ của nhà giáo do các cơ sở giáo dục mà nhà giáo đến dạy liên trường chi trả, số giờ dạy thêm của nhà giáo được chia đều cho các cơ sở giáo dục này.</w:t>
            </w:r>
          </w:p>
        </w:tc>
        <w:tc>
          <w:tcPr>
            <w:tcW w:w="992" w:type="dxa"/>
            <w:shd w:val="clear" w:color="auto" w:fill="auto"/>
            <w:vAlign w:val="center"/>
          </w:tcPr>
          <w:p w14:paraId="06CE72D6" w14:textId="60BE296C" w:rsidR="00A2180D" w:rsidRPr="00474174" w:rsidRDefault="00A2180D" w:rsidP="00A2180D">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39182687" w14:textId="7A4809CB"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6E8AD804" w14:textId="77777777" w:rsidR="00A2180D" w:rsidRPr="00474174" w:rsidRDefault="00A2180D" w:rsidP="00A2180D">
            <w:pPr>
              <w:tabs>
                <w:tab w:val="left" w:pos="993"/>
              </w:tabs>
              <w:spacing w:after="0" w:line="240" w:lineRule="auto"/>
              <w:jc w:val="both"/>
              <w:rPr>
                <w:sz w:val="24"/>
                <w:szCs w:val="24"/>
              </w:rPr>
            </w:pPr>
          </w:p>
        </w:tc>
      </w:tr>
      <w:tr w:rsidR="00A2180D" w:rsidRPr="00474174" w14:paraId="2EE398BE" w14:textId="77777777" w:rsidTr="0002295F">
        <w:trPr>
          <w:trHeight w:val="313"/>
        </w:trPr>
        <w:tc>
          <w:tcPr>
            <w:tcW w:w="670" w:type="dxa"/>
            <w:shd w:val="clear" w:color="auto" w:fill="auto"/>
            <w:vAlign w:val="center"/>
          </w:tcPr>
          <w:p w14:paraId="651D903F" w14:textId="77777777" w:rsidR="00A2180D" w:rsidRPr="00474174" w:rsidRDefault="00A2180D" w:rsidP="00A2180D">
            <w:pPr>
              <w:tabs>
                <w:tab w:val="left" w:pos="993"/>
              </w:tabs>
              <w:spacing w:after="0" w:line="240" w:lineRule="auto"/>
              <w:jc w:val="center"/>
              <w:rPr>
                <w:sz w:val="24"/>
                <w:szCs w:val="24"/>
              </w:rPr>
            </w:pPr>
            <w:r w:rsidRPr="00474174">
              <w:rPr>
                <w:sz w:val="24"/>
                <w:szCs w:val="24"/>
              </w:rPr>
              <w:t>6</w:t>
            </w:r>
          </w:p>
        </w:tc>
        <w:tc>
          <w:tcPr>
            <w:tcW w:w="4150" w:type="dxa"/>
            <w:shd w:val="clear" w:color="auto" w:fill="auto"/>
          </w:tcPr>
          <w:p w14:paraId="3A33AC7C" w14:textId="77777777" w:rsidR="00A2180D" w:rsidRPr="00474174" w:rsidRDefault="00A2180D" w:rsidP="00A2180D">
            <w:pPr>
              <w:spacing w:after="0" w:line="240" w:lineRule="auto"/>
              <w:jc w:val="both"/>
              <w:rPr>
                <w:sz w:val="24"/>
                <w:szCs w:val="24"/>
              </w:rPr>
            </w:pPr>
            <w:r w:rsidRPr="00474174">
              <w:rPr>
                <w:bCs/>
                <w:sz w:val="24"/>
                <w:szCs w:val="24"/>
              </w:rPr>
              <w:t>Bổ sung quy định nhiệm vụ đã được nhận thù lao bằng tiền hoặc phụ cấp thì không được quy đổi ra giờ dạy hoặc giảm định mức tiết dạy để tính tiền lương dạy thêm giờ trừ trường hợp pháp luật có quy định khác</w:t>
            </w:r>
            <w:r w:rsidRPr="00474174">
              <w:rPr>
                <w:sz w:val="24"/>
                <w:szCs w:val="24"/>
              </w:rPr>
              <w:t xml:space="preserve"> </w:t>
            </w:r>
          </w:p>
        </w:tc>
        <w:tc>
          <w:tcPr>
            <w:tcW w:w="992" w:type="dxa"/>
            <w:shd w:val="clear" w:color="auto" w:fill="auto"/>
            <w:vAlign w:val="center"/>
          </w:tcPr>
          <w:p w14:paraId="6B6CE497" w14:textId="7E3CC53A" w:rsidR="00A2180D" w:rsidRPr="00474174" w:rsidRDefault="00A2180D" w:rsidP="00A2180D">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4B8A6300" w14:textId="7C674F15"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1704D171" w14:textId="77777777" w:rsidR="00A2180D" w:rsidRPr="00474174" w:rsidRDefault="00A2180D" w:rsidP="00A2180D">
            <w:pPr>
              <w:tabs>
                <w:tab w:val="left" w:pos="993"/>
              </w:tabs>
              <w:spacing w:after="0" w:line="240" w:lineRule="auto"/>
              <w:jc w:val="both"/>
              <w:rPr>
                <w:sz w:val="24"/>
                <w:szCs w:val="24"/>
              </w:rPr>
            </w:pPr>
          </w:p>
        </w:tc>
      </w:tr>
      <w:tr w:rsidR="00A2180D" w:rsidRPr="00474174" w14:paraId="6CC50F6D" w14:textId="77777777" w:rsidTr="0002295F">
        <w:trPr>
          <w:trHeight w:val="313"/>
        </w:trPr>
        <w:tc>
          <w:tcPr>
            <w:tcW w:w="670" w:type="dxa"/>
            <w:shd w:val="clear" w:color="auto" w:fill="auto"/>
            <w:vAlign w:val="center"/>
          </w:tcPr>
          <w:p w14:paraId="6C678FCE" w14:textId="77777777" w:rsidR="00A2180D" w:rsidRPr="00474174" w:rsidRDefault="00A2180D" w:rsidP="00A2180D">
            <w:pPr>
              <w:tabs>
                <w:tab w:val="left" w:pos="993"/>
              </w:tabs>
              <w:spacing w:after="0" w:line="240" w:lineRule="auto"/>
              <w:jc w:val="center"/>
              <w:rPr>
                <w:sz w:val="24"/>
                <w:szCs w:val="24"/>
              </w:rPr>
            </w:pPr>
            <w:r w:rsidRPr="00474174">
              <w:rPr>
                <w:sz w:val="24"/>
                <w:szCs w:val="24"/>
              </w:rPr>
              <w:t>7</w:t>
            </w:r>
          </w:p>
        </w:tc>
        <w:tc>
          <w:tcPr>
            <w:tcW w:w="4150" w:type="dxa"/>
            <w:shd w:val="clear" w:color="auto" w:fill="auto"/>
          </w:tcPr>
          <w:p w14:paraId="5C04C96C" w14:textId="77777777" w:rsidR="00A2180D" w:rsidRPr="00474174" w:rsidRDefault="00A2180D" w:rsidP="00A2180D">
            <w:pPr>
              <w:tabs>
                <w:tab w:val="left" w:pos="993"/>
              </w:tabs>
              <w:spacing w:after="0" w:line="240" w:lineRule="auto"/>
              <w:jc w:val="both"/>
              <w:rPr>
                <w:sz w:val="24"/>
                <w:szCs w:val="24"/>
              </w:rPr>
            </w:pPr>
            <w:r w:rsidRPr="00474174">
              <w:rPr>
                <w:bCs/>
                <w:sz w:val="24"/>
                <w:szCs w:val="24"/>
              </w:rPr>
              <w:t>Bổ sung quy định về thời điểm thực hiện việc chi trả chế độ tiền lương dạy thêm giờ đối với nhà giáo:</w:t>
            </w:r>
            <w:r w:rsidRPr="00474174">
              <w:rPr>
                <w:sz w:val="24"/>
                <w:szCs w:val="24"/>
              </w:rPr>
              <w:t xml:space="preserve"> Theo đó, c</w:t>
            </w:r>
            <w:r w:rsidRPr="00474174">
              <w:rPr>
                <w:color w:val="000000"/>
                <w:sz w:val="24"/>
                <w:szCs w:val="24"/>
              </w:rPr>
              <w:t>ơ sở giáo dục mần non, phổ thông, thường xuyên, dự bị đại học, trường chuyên biệt và cơ sở giáo dục nghề nghiệp thực hiện chi trả tiền lương dạy thêm giờ cho nhà giáo sau khi kết thúc năm học</w:t>
            </w:r>
          </w:p>
        </w:tc>
        <w:tc>
          <w:tcPr>
            <w:tcW w:w="992" w:type="dxa"/>
            <w:shd w:val="clear" w:color="auto" w:fill="auto"/>
            <w:vAlign w:val="center"/>
          </w:tcPr>
          <w:p w14:paraId="3EB00A2D" w14:textId="0D8B0D9F" w:rsidR="00A2180D" w:rsidRPr="00474174" w:rsidRDefault="00A2180D" w:rsidP="00A2180D">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0283474E" w14:textId="2A963DD7"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01531E7B" w14:textId="77777777" w:rsidR="00A2180D" w:rsidRPr="00474174" w:rsidRDefault="00A2180D" w:rsidP="00A2180D">
            <w:pPr>
              <w:tabs>
                <w:tab w:val="left" w:pos="993"/>
              </w:tabs>
              <w:spacing w:after="0" w:line="240" w:lineRule="auto"/>
              <w:jc w:val="both"/>
              <w:rPr>
                <w:sz w:val="24"/>
                <w:szCs w:val="24"/>
              </w:rPr>
            </w:pPr>
          </w:p>
        </w:tc>
      </w:tr>
      <w:tr w:rsidR="00A2180D" w:rsidRPr="00474174" w14:paraId="6B3CA2BA" w14:textId="77777777" w:rsidTr="0002295F">
        <w:trPr>
          <w:trHeight w:val="313"/>
        </w:trPr>
        <w:tc>
          <w:tcPr>
            <w:tcW w:w="670" w:type="dxa"/>
            <w:shd w:val="clear" w:color="auto" w:fill="auto"/>
            <w:vAlign w:val="center"/>
          </w:tcPr>
          <w:p w14:paraId="5EEDC904" w14:textId="77777777" w:rsidR="00A2180D" w:rsidRPr="00474174" w:rsidRDefault="00A2180D" w:rsidP="00A2180D">
            <w:pPr>
              <w:tabs>
                <w:tab w:val="left" w:pos="993"/>
              </w:tabs>
              <w:spacing w:after="0" w:line="240" w:lineRule="auto"/>
              <w:jc w:val="center"/>
              <w:rPr>
                <w:sz w:val="24"/>
                <w:szCs w:val="24"/>
              </w:rPr>
            </w:pPr>
            <w:r w:rsidRPr="00474174">
              <w:rPr>
                <w:sz w:val="24"/>
                <w:szCs w:val="24"/>
              </w:rPr>
              <w:t>8</w:t>
            </w:r>
          </w:p>
        </w:tc>
        <w:tc>
          <w:tcPr>
            <w:tcW w:w="4150" w:type="dxa"/>
            <w:shd w:val="clear" w:color="auto" w:fill="auto"/>
          </w:tcPr>
          <w:p w14:paraId="6345985C" w14:textId="77777777" w:rsidR="00A2180D" w:rsidRPr="00474174" w:rsidRDefault="00A2180D" w:rsidP="00A2180D">
            <w:pPr>
              <w:tabs>
                <w:tab w:val="left" w:pos="993"/>
              </w:tabs>
              <w:spacing w:after="0" w:line="240" w:lineRule="auto"/>
              <w:jc w:val="both"/>
              <w:rPr>
                <w:sz w:val="24"/>
                <w:szCs w:val="24"/>
              </w:rPr>
            </w:pPr>
            <w:r w:rsidRPr="00474174">
              <w:rPr>
                <w:bCs/>
                <w:color w:val="000000"/>
                <w:sz w:val="24"/>
                <w:szCs w:val="24"/>
              </w:rPr>
              <w:t>Điều chỉnh tiền lương 01 giờ dạy thêm đối với giảng viên, cán bộ quản lý cơ sở giáo dục</w:t>
            </w:r>
            <w:r w:rsidRPr="00474174">
              <w:rPr>
                <w:color w:val="000000"/>
                <w:sz w:val="24"/>
                <w:szCs w:val="24"/>
              </w:rPr>
              <w:t xml:space="preserve"> </w:t>
            </w:r>
            <w:r w:rsidRPr="00474174">
              <w:rPr>
                <w:iCs/>
                <w:color w:val="000000"/>
                <w:sz w:val="24"/>
                <w:szCs w:val="24"/>
              </w:rPr>
              <w:t xml:space="preserve">công tác trong cơ sở giáo dục đại học, cao đẳng sư phạm, cơ sở đào tạo, bồi dưỡng của Bộ, cơ quan ngang Bộ, cơ quan thuộc Chính phủ, Trường Chính trị tỉnh, thành phố trực thuộc Trung ương </w:t>
            </w:r>
          </w:p>
        </w:tc>
        <w:tc>
          <w:tcPr>
            <w:tcW w:w="992" w:type="dxa"/>
            <w:shd w:val="clear" w:color="auto" w:fill="auto"/>
            <w:vAlign w:val="center"/>
          </w:tcPr>
          <w:p w14:paraId="7FF2EF90" w14:textId="1EE16065" w:rsidR="00A2180D" w:rsidRPr="00474174" w:rsidRDefault="00A2180D" w:rsidP="00A2180D">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25DD67F7" w14:textId="473BCC92"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39EA43ED" w14:textId="77777777" w:rsidR="00A2180D" w:rsidRPr="00474174" w:rsidRDefault="00A2180D" w:rsidP="00A2180D">
            <w:pPr>
              <w:tabs>
                <w:tab w:val="left" w:pos="993"/>
              </w:tabs>
              <w:spacing w:after="0" w:line="240" w:lineRule="auto"/>
              <w:jc w:val="both"/>
              <w:rPr>
                <w:sz w:val="24"/>
                <w:szCs w:val="24"/>
              </w:rPr>
            </w:pPr>
          </w:p>
        </w:tc>
      </w:tr>
      <w:tr w:rsidR="00A2180D" w:rsidRPr="00474174" w14:paraId="6A622584" w14:textId="77777777" w:rsidTr="0002295F">
        <w:trPr>
          <w:trHeight w:val="322"/>
        </w:trPr>
        <w:tc>
          <w:tcPr>
            <w:tcW w:w="670" w:type="dxa"/>
            <w:shd w:val="clear" w:color="auto" w:fill="auto"/>
            <w:vAlign w:val="center"/>
          </w:tcPr>
          <w:p w14:paraId="103BAC4A" w14:textId="77777777" w:rsidR="00A2180D" w:rsidRPr="00474174" w:rsidRDefault="00A2180D" w:rsidP="00A2180D">
            <w:pPr>
              <w:tabs>
                <w:tab w:val="left" w:pos="993"/>
              </w:tabs>
              <w:spacing w:after="0" w:line="240" w:lineRule="auto"/>
              <w:jc w:val="center"/>
              <w:rPr>
                <w:sz w:val="24"/>
                <w:szCs w:val="24"/>
              </w:rPr>
            </w:pPr>
            <w:r w:rsidRPr="00474174">
              <w:rPr>
                <w:sz w:val="24"/>
                <w:szCs w:val="24"/>
              </w:rPr>
              <w:t>9</w:t>
            </w:r>
          </w:p>
        </w:tc>
        <w:tc>
          <w:tcPr>
            <w:tcW w:w="4150" w:type="dxa"/>
            <w:shd w:val="clear" w:color="auto" w:fill="auto"/>
          </w:tcPr>
          <w:p w14:paraId="5C4D49F4" w14:textId="77777777" w:rsidR="00A2180D" w:rsidRPr="00474174" w:rsidRDefault="00A2180D" w:rsidP="00A2180D">
            <w:pPr>
              <w:spacing w:after="0" w:line="240" w:lineRule="auto"/>
              <w:jc w:val="both"/>
              <w:rPr>
                <w:sz w:val="24"/>
                <w:szCs w:val="24"/>
              </w:rPr>
            </w:pPr>
            <w:bookmarkStart w:id="1" w:name="_Hlk198113269"/>
            <w:r w:rsidRPr="00474174">
              <w:rPr>
                <w:bCs/>
                <w:sz w:val="24"/>
                <w:szCs w:val="24"/>
              </w:rPr>
              <w:t>Bổ sung quy định cơ sở giáo dục đại học, cao đẳng, cơ sở đào tạo, bồi dưỡng của Bộ, cơ quan ngang Bộ, cơ quan thuộc Chính phủ, Trường Chính trị tỉnh, thành phố trực thuộc Trung ương</w:t>
            </w:r>
            <w:r w:rsidRPr="00474174">
              <w:rPr>
                <w:sz w:val="24"/>
                <w:szCs w:val="24"/>
              </w:rPr>
              <w:t xml:space="preserve"> </w:t>
            </w:r>
            <w:r w:rsidRPr="00474174">
              <w:rPr>
                <w:iCs/>
                <w:sz w:val="24"/>
                <w:szCs w:val="24"/>
              </w:rPr>
              <w:t xml:space="preserve">căn cứ quy định tại Thông tư này và điều kiện thực tế của cơ sở giáo dục để quy định về trả </w:t>
            </w:r>
            <w:r w:rsidRPr="00474174">
              <w:rPr>
                <w:iCs/>
                <w:sz w:val="24"/>
                <w:szCs w:val="24"/>
              </w:rPr>
              <w:lastRenderedPageBreak/>
              <w:t>lương dạy thêm giờ đối với nhà giáo thuộc thẩm quyền quản lý, không thấp hơn mức quy định tại Thông tư này</w:t>
            </w:r>
            <w:r w:rsidRPr="00474174">
              <w:rPr>
                <w:sz w:val="24"/>
                <w:szCs w:val="24"/>
              </w:rPr>
              <w:t xml:space="preserve"> </w:t>
            </w:r>
            <w:bookmarkEnd w:id="1"/>
            <w:r w:rsidRPr="00474174">
              <w:rPr>
                <w:sz w:val="24"/>
                <w:szCs w:val="24"/>
              </w:rPr>
              <w:t>để bảo đảm việc giao quyền tự chủ cho các cơ sở giáo dục.</w:t>
            </w:r>
          </w:p>
        </w:tc>
        <w:tc>
          <w:tcPr>
            <w:tcW w:w="992" w:type="dxa"/>
            <w:shd w:val="clear" w:color="auto" w:fill="auto"/>
            <w:vAlign w:val="center"/>
          </w:tcPr>
          <w:p w14:paraId="1C1B02E3" w14:textId="52C4F8E5" w:rsidR="00A2180D" w:rsidRPr="00474174" w:rsidRDefault="00A2180D" w:rsidP="00A2180D">
            <w:pPr>
              <w:tabs>
                <w:tab w:val="left" w:pos="993"/>
              </w:tabs>
              <w:spacing w:after="0" w:line="240" w:lineRule="auto"/>
              <w:jc w:val="center"/>
              <w:rPr>
                <w:sz w:val="24"/>
                <w:szCs w:val="24"/>
              </w:rPr>
            </w:pPr>
            <w:r>
              <w:rPr>
                <w:sz w:val="24"/>
                <w:szCs w:val="24"/>
              </w:rPr>
              <w:lastRenderedPageBreak/>
              <w:t>595</w:t>
            </w:r>
          </w:p>
        </w:tc>
        <w:tc>
          <w:tcPr>
            <w:tcW w:w="1084" w:type="dxa"/>
            <w:shd w:val="clear" w:color="auto" w:fill="auto"/>
            <w:vAlign w:val="center"/>
          </w:tcPr>
          <w:p w14:paraId="534A91DC" w14:textId="698D4906"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6ECA8521" w14:textId="77777777" w:rsidR="00A2180D" w:rsidRPr="00474174" w:rsidRDefault="00A2180D" w:rsidP="00A2180D">
            <w:pPr>
              <w:tabs>
                <w:tab w:val="left" w:pos="993"/>
              </w:tabs>
              <w:spacing w:after="0" w:line="240" w:lineRule="auto"/>
              <w:jc w:val="both"/>
              <w:rPr>
                <w:sz w:val="24"/>
                <w:szCs w:val="24"/>
              </w:rPr>
            </w:pPr>
          </w:p>
        </w:tc>
      </w:tr>
      <w:tr w:rsidR="00A2180D" w:rsidRPr="00474174" w14:paraId="3EC56DC6" w14:textId="77777777" w:rsidTr="0002295F">
        <w:trPr>
          <w:trHeight w:val="322"/>
        </w:trPr>
        <w:tc>
          <w:tcPr>
            <w:tcW w:w="670" w:type="dxa"/>
            <w:shd w:val="clear" w:color="auto" w:fill="auto"/>
          </w:tcPr>
          <w:p w14:paraId="524633C3" w14:textId="77777777" w:rsidR="00A2180D" w:rsidRPr="00474174" w:rsidRDefault="00A2180D" w:rsidP="00A2180D">
            <w:pPr>
              <w:tabs>
                <w:tab w:val="left" w:pos="993"/>
              </w:tabs>
              <w:spacing w:after="0" w:line="240" w:lineRule="auto"/>
              <w:jc w:val="both"/>
              <w:rPr>
                <w:sz w:val="24"/>
                <w:szCs w:val="24"/>
              </w:rPr>
            </w:pPr>
          </w:p>
        </w:tc>
        <w:tc>
          <w:tcPr>
            <w:tcW w:w="4150" w:type="dxa"/>
            <w:shd w:val="clear" w:color="auto" w:fill="auto"/>
          </w:tcPr>
          <w:p w14:paraId="6A3C8E83" w14:textId="77777777" w:rsidR="00A2180D" w:rsidRPr="00474174" w:rsidRDefault="00A2180D" w:rsidP="00A2180D">
            <w:pPr>
              <w:spacing w:after="0" w:line="240" w:lineRule="auto"/>
              <w:jc w:val="both"/>
              <w:rPr>
                <w:bCs/>
                <w:sz w:val="24"/>
                <w:szCs w:val="24"/>
              </w:rPr>
            </w:pPr>
            <w:r w:rsidRPr="00474174">
              <w:rPr>
                <w:bCs/>
                <w:sz w:val="24"/>
                <w:szCs w:val="24"/>
              </w:rPr>
              <w:t>Bổ sung quy định về việc chi trả tiền lương dạy thêm giờ cho nhà giáo công tác không đủ 01 năm học:</w:t>
            </w:r>
            <w:r w:rsidRPr="00474174">
              <w:rPr>
                <w:sz w:val="24"/>
                <w:szCs w:val="24"/>
              </w:rPr>
              <w:t xml:space="preserve"> Theo đó, đối với những nhà giáo do nghỉ hưu, nghỉ ốm đau, thai sản vượt quá quy định của pháp luật, nghỉ việc không lương hoặc các trường hợp nghỉ khác không trực tiếp tham gia giảng dạy thì được hưởng tiền lương dạy thêm giờ đối với thời gian thực tế công tác.</w:t>
            </w:r>
          </w:p>
        </w:tc>
        <w:tc>
          <w:tcPr>
            <w:tcW w:w="992" w:type="dxa"/>
            <w:shd w:val="clear" w:color="auto" w:fill="auto"/>
            <w:vAlign w:val="center"/>
          </w:tcPr>
          <w:p w14:paraId="30342D27" w14:textId="07E1B1E2" w:rsidR="00A2180D" w:rsidRPr="00474174" w:rsidRDefault="00A2180D" w:rsidP="00A2180D">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5CB50AC8" w14:textId="7871DC40"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286B7DCA" w14:textId="77777777" w:rsidR="00A2180D" w:rsidRPr="00474174" w:rsidRDefault="00A2180D" w:rsidP="00A2180D">
            <w:pPr>
              <w:tabs>
                <w:tab w:val="left" w:pos="993"/>
              </w:tabs>
              <w:spacing w:after="0" w:line="240" w:lineRule="auto"/>
              <w:jc w:val="both"/>
              <w:rPr>
                <w:sz w:val="24"/>
                <w:szCs w:val="24"/>
              </w:rPr>
            </w:pPr>
          </w:p>
        </w:tc>
      </w:tr>
      <w:tr w:rsidR="00A2180D" w:rsidRPr="00474174" w14:paraId="45CBAF4A" w14:textId="77777777" w:rsidTr="0002295F">
        <w:trPr>
          <w:trHeight w:val="322"/>
        </w:trPr>
        <w:tc>
          <w:tcPr>
            <w:tcW w:w="670" w:type="dxa"/>
            <w:shd w:val="clear" w:color="auto" w:fill="auto"/>
            <w:vAlign w:val="center"/>
          </w:tcPr>
          <w:p w14:paraId="37111208" w14:textId="77777777" w:rsidR="00A2180D" w:rsidRPr="00474174" w:rsidRDefault="00A2180D" w:rsidP="00A2180D">
            <w:pPr>
              <w:tabs>
                <w:tab w:val="left" w:pos="993"/>
              </w:tabs>
              <w:spacing w:after="0" w:line="240" w:lineRule="auto"/>
              <w:jc w:val="center"/>
              <w:rPr>
                <w:sz w:val="24"/>
                <w:szCs w:val="24"/>
              </w:rPr>
            </w:pPr>
            <w:r w:rsidRPr="00474174">
              <w:rPr>
                <w:sz w:val="24"/>
                <w:szCs w:val="24"/>
              </w:rPr>
              <w:t>10</w:t>
            </w:r>
          </w:p>
        </w:tc>
        <w:tc>
          <w:tcPr>
            <w:tcW w:w="4150" w:type="dxa"/>
            <w:shd w:val="clear" w:color="auto" w:fill="auto"/>
          </w:tcPr>
          <w:p w14:paraId="24ED933A" w14:textId="77777777" w:rsidR="00A2180D" w:rsidRPr="00474174" w:rsidRDefault="00A2180D" w:rsidP="00A2180D">
            <w:pPr>
              <w:spacing w:after="0" w:line="240" w:lineRule="auto"/>
              <w:jc w:val="both"/>
              <w:rPr>
                <w:bCs/>
                <w:sz w:val="24"/>
                <w:szCs w:val="24"/>
              </w:rPr>
            </w:pPr>
            <w:r w:rsidRPr="00474174">
              <w:rPr>
                <w:iCs/>
                <w:sz w:val="24"/>
                <w:szCs w:val="24"/>
              </w:rPr>
              <w:t>Bổ sung quy định tại điều khoản áp dụng:</w:t>
            </w:r>
            <w:r w:rsidRPr="00474174">
              <w:rPr>
                <w:bCs/>
                <w:iCs/>
                <w:sz w:val="24"/>
                <w:szCs w:val="24"/>
              </w:rPr>
              <w:t xml:space="preserve"> Các cơ sở giáo dục được áp dụng quy định chế độ trả lương dạy thêm giờ tại Thông tư này khi trả lương dạy thêm giờ cho nhà giáo trong năm học 2024-2025. </w:t>
            </w:r>
          </w:p>
        </w:tc>
        <w:tc>
          <w:tcPr>
            <w:tcW w:w="992" w:type="dxa"/>
            <w:shd w:val="clear" w:color="auto" w:fill="auto"/>
            <w:vAlign w:val="center"/>
          </w:tcPr>
          <w:p w14:paraId="4935D523" w14:textId="16766EA2" w:rsidR="00A2180D" w:rsidRPr="00474174" w:rsidRDefault="00A2180D" w:rsidP="00A2180D">
            <w:pPr>
              <w:tabs>
                <w:tab w:val="left" w:pos="993"/>
              </w:tabs>
              <w:spacing w:after="0" w:line="240" w:lineRule="auto"/>
              <w:jc w:val="center"/>
              <w:rPr>
                <w:sz w:val="24"/>
                <w:szCs w:val="24"/>
              </w:rPr>
            </w:pPr>
            <w:r>
              <w:rPr>
                <w:sz w:val="24"/>
                <w:szCs w:val="24"/>
              </w:rPr>
              <w:t>595</w:t>
            </w:r>
          </w:p>
        </w:tc>
        <w:tc>
          <w:tcPr>
            <w:tcW w:w="1084" w:type="dxa"/>
            <w:shd w:val="clear" w:color="auto" w:fill="auto"/>
            <w:vAlign w:val="center"/>
          </w:tcPr>
          <w:p w14:paraId="313E7AFB" w14:textId="587EF486" w:rsidR="00A2180D" w:rsidRPr="00474174" w:rsidRDefault="00A2180D" w:rsidP="00A2180D">
            <w:pPr>
              <w:tabs>
                <w:tab w:val="left" w:pos="993"/>
              </w:tabs>
              <w:spacing w:after="0" w:line="240" w:lineRule="auto"/>
              <w:jc w:val="center"/>
              <w:rPr>
                <w:sz w:val="24"/>
                <w:szCs w:val="24"/>
              </w:rPr>
            </w:pPr>
            <w:r>
              <w:rPr>
                <w:sz w:val="24"/>
                <w:szCs w:val="24"/>
              </w:rPr>
              <w:t>0</w:t>
            </w:r>
          </w:p>
        </w:tc>
        <w:tc>
          <w:tcPr>
            <w:tcW w:w="2743" w:type="dxa"/>
            <w:shd w:val="clear" w:color="auto" w:fill="auto"/>
          </w:tcPr>
          <w:p w14:paraId="4500ABCD" w14:textId="77777777" w:rsidR="00A2180D" w:rsidRPr="00474174" w:rsidRDefault="00A2180D" w:rsidP="00A2180D">
            <w:pPr>
              <w:tabs>
                <w:tab w:val="left" w:pos="993"/>
              </w:tabs>
              <w:spacing w:after="0" w:line="240" w:lineRule="auto"/>
              <w:jc w:val="both"/>
              <w:rPr>
                <w:sz w:val="24"/>
                <w:szCs w:val="24"/>
              </w:rPr>
            </w:pPr>
          </w:p>
        </w:tc>
      </w:tr>
    </w:tbl>
    <w:p w14:paraId="32107F3A" w14:textId="0985A5B2" w:rsidR="00A007DF" w:rsidRPr="007B1CE1" w:rsidRDefault="00A007DF" w:rsidP="0002295F">
      <w:pPr>
        <w:spacing w:before="240" w:after="0" w:line="240" w:lineRule="auto"/>
        <w:ind w:firstLine="720"/>
        <w:jc w:val="both"/>
        <w:rPr>
          <w:b/>
          <w:szCs w:val="28"/>
        </w:rPr>
      </w:pPr>
      <w:r w:rsidRPr="007B1CE1">
        <w:rPr>
          <w:b/>
          <w:szCs w:val="28"/>
        </w:rPr>
        <w:t>Ý kiến góp ý khác (nếu có):</w:t>
      </w:r>
      <w:r w:rsidR="00A2180D">
        <w:rPr>
          <w:b/>
          <w:szCs w:val="28"/>
        </w:rPr>
        <w:t xml:space="preserve"> Không</w:t>
      </w:r>
    </w:p>
    <w:p w14:paraId="2F008A0C" w14:textId="77777777" w:rsidR="00A007DF" w:rsidRPr="007B1CE1" w:rsidRDefault="00A007DF" w:rsidP="00A007DF">
      <w:pPr>
        <w:tabs>
          <w:tab w:val="left" w:leader="dot" w:pos="9072"/>
          <w:tab w:val="center" w:leader="dot" w:pos="14459"/>
        </w:tabs>
        <w:spacing w:after="0" w:line="240" w:lineRule="auto"/>
        <w:jc w:val="both"/>
        <w:rPr>
          <w:szCs w:val="28"/>
        </w:rPr>
      </w:pPr>
    </w:p>
    <w:p w14:paraId="42BCCD98" w14:textId="77777777" w:rsidR="00A007DF" w:rsidRDefault="00A007DF" w:rsidP="00A007DF">
      <w:pPr>
        <w:tabs>
          <w:tab w:val="left" w:pos="630"/>
          <w:tab w:val="left" w:pos="720"/>
        </w:tabs>
        <w:spacing w:after="0" w:line="288" w:lineRule="auto"/>
        <w:jc w:val="both"/>
        <w:rPr>
          <w:szCs w:val="28"/>
        </w:rPr>
      </w:pPr>
    </w:p>
    <w:p w14:paraId="5854AD6C" w14:textId="0C64DE64" w:rsidR="0006468F" w:rsidRDefault="0006468F" w:rsidP="005C0919">
      <w:pPr>
        <w:tabs>
          <w:tab w:val="left" w:leader="dot" w:pos="9072"/>
          <w:tab w:val="center" w:leader="dot" w:pos="14459"/>
        </w:tabs>
        <w:spacing w:after="0" w:line="240" w:lineRule="auto"/>
        <w:jc w:val="both"/>
        <w:rPr>
          <w:szCs w:val="28"/>
        </w:rPr>
      </w:pPr>
    </w:p>
    <w:sectPr w:rsidR="0006468F" w:rsidSect="007C200D">
      <w:headerReference w:type="default" r:id="rId8"/>
      <w:pgSz w:w="11907" w:h="16840" w:code="9"/>
      <w:pgMar w:top="1134" w:right="1134" w:bottom="1134" w:left="1701" w:header="720" w:footer="51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B7865" w14:textId="77777777" w:rsidR="00473555" w:rsidRDefault="00473555" w:rsidP="00325DF2">
      <w:pPr>
        <w:spacing w:after="0" w:line="240" w:lineRule="auto"/>
      </w:pPr>
      <w:r>
        <w:separator/>
      </w:r>
    </w:p>
  </w:endnote>
  <w:endnote w:type="continuationSeparator" w:id="0">
    <w:p w14:paraId="58CF8A68" w14:textId="77777777" w:rsidR="00473555" w:rsidRDefault="00473555" w:rsidP="0032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33DC6" w14:textId="77777777" w:rsidR="00473555" w:rsidRDefault="00473555" w:rsidP="00325DF2">
      <w:pPr>
        <w:spacing w:after="0" w:line="240" w:lineRule="auto"/>
      </w:pPr>
      <w:r>
        <w:separator/>
      </w:r>
    </w:p>
  </w:footnote>
  <w:footnote w:type="continuationSeparator" w:id="0">
    <w:p w14:paraId="0D09C642" w14:textId="77777777" w:rsidR="00473555" w:rsidRDefault="00473555" w:rsidP="0032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581685"/>
      <w:docPartObj>
        <w:docPartGallery w:val="Page Numbers (Top of Page)"/>
        <w:docPartUnique/>
      </w:docPartObj>
    </w:sdtPr>
    <w:sdtEndPr>
      <w:rPr>
        <w:noProof/>
      </w:rPr>
    </w:sdtEndPr>
    <w:sdtContent>
      <w:p w14:paraId="0A659BF4" w14:textId="79B740F8" w:rsidR="00B124BA" w:rsidRDefault="00B124BA">
        <w:pPr>
          <w:pStyle w:val="Header"/>
          <w:jc w:val="center"/>
        </w:pPr>
        <w:r>
          <w:fldChar w:fldCharType="begin"/>
        </w:r>
        <w:r>
          <w:instrText xml:space="preserve"> PAGE   \* MERGEFORMAT </w:instrText>
        </w:r>
        <w:r>
          <w:fldChar w:fldCharType="separate"/>
        </w:r>
        <w:r w:rsidR="00E9331A">
          <w:rPr>
            <w:noProof/>
          </w:rPr>
          <w:t>2</w:t>
        </w:r>
        <w:r>
          <w:rPr>
            <w:noProof/>
          </w:rPr>
          <w:fldChar w:fldCharType="end"/>
        </w:r>
      </w:p>
    </w:sdtContent>
  </w:sdt>
  <w:p w14:paraId="70E252E7" w14:textId="77777777" w:rsidR="00B124BA" w:rsidRDefault="00B124B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BDA"/>
    <w:multiLevelType w:val="hybridMultilevel"/>
    <w:tmpl w:val="A6EC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402F1B"/>
    <w:multiLevelType w:val="hybridMultilevel"/>
    <w:tmpl w:val="54048ED8"/>
    <w:lvl w:ilvl="0" w:tplc="D6D2CB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A53A30"/>
    <w:multiLevelType w:val="hybridMultilevel"/>
    <w:tmpl w:val="A76C7218"/>
    <w:lvl w:ilvl="0" w:tplc="D7963E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10"/>
    <w:rsid w:val="00000FBB"/>
    <w:rsid w:val="0000138B"/>
    <w:rsid w:val="000061E8"/>
    <w:rsid w:val="00010817"/>
    <w:rsid w:val="0002295F"/>
    <w:rsid w:val="00041CCA"/>
    <w:rsid w:val="00052645"/>
    <w:rsid w:val="0006468F"/>
    <w:rsid w:val="00070399"/>
    <w:rsid w:val="00077313"/>
    <w:rsid w:val="000B5EFE"/>
    <w:rsid w:val="000C2E33"/>
    <w:rsid w:val="000C7E03"/>
    <w:rsid w:val="000E57FF"/>
    <w:rsid w:val="000E7D1A"/>
    <w:rsid w:val="000F33B3"/>
    <w:rsid w:val="000F484F"/>
    <w:rsid w:val="00110CD6"/>
    <w:rsid w:val="00121583"/>
    <w:rsid w:val="0014440D"/>
    <w:rsid w:val="001545A1"/>
    <w:rsid w:val="00170D76"/>
    <w:rsid w:val="00173311"/>
    <w:rsid w:val="0017552D"/>
    <w:rsid w:val="00194402"/>
    <w:rsid w:val="001A2EAB"/>
    <w:rsid w:val="001B36B9"/>
    <w:rsid w:val="001B4234"/>
    <w:rsid w:val="001C43ED"/>
    <w:rsid w:val="001E3194"/>
    <w:rsid w:val="001F17F6"/>
    <w:rsid w:val="001F1C7F"/>
    <w:rsid w:val="002028B7"/>
    <w:rsid w:val="00205A07"/>
    <w:rsid w:val="002139D7"/>
    <w:rsid w:val="00236236"/>
    <w:rsid w:val="00255BC0"/>
    <w:rsid w:val="0026610D"/>
    <w:rsid w:val="00271211"/>
    <w:rsid w:val="00283EA5"/>
    <w:rsid w:val="002A569E"/>
    <w:rsid w:val="002B2DF6"/>
    <w:rsid w:val="002B3AB9"/>
    <w:rsid w:val="002E2C5C"/>
    <w:rsid w:val="00310086"/>
    <w:rsid w:val="00316C37"/>
    <w:rsid w:val="00325DF2"/>
    <w:rsid w:val="00326A86"/>
    <w:rsid w:val="00351F16"/>
    <w:rsid w:val="003A2C4B"/>
    <w:rsid w:val="003B0960"/>
    <w:rsid w:val="003B2407"/>
    <w:rsid w:val="003B5E4C"/>
    <w:rsid w:val="003B6A5F"/>
    <w:rsid w:val="003C1DA5"/>
    <w:rsid w:val="004132F1"/>
    <w:rsid w:val="00415D7C"/>
    <w:rsid w:val="00433B60"/>
    <w:rsid w:val="004435E5"/>
    <w:rsid w:val="00445495"/>
    <w:rsid w:val="00473555"/>
    <w:rsid w:val="00492265"/>
    <w:rsid w:val="004973B5"/>
    <w:rsid w:val="004E11C0"/>
    <w:rsid w:val="004E5254"/>
    <w:rsid w:val="004F327B"/>
    <w:rsid w:val="004F366E"/>
    <w:rsid w:val="00513EE8"/>
    <w:rsid w:val="0051762C"/>
    <w:rsid w:val="00523571"/>
    <w:rsid w:val="005268EC"/>
    <w:rsid w:val="00552338"/>
    <w:rsid w:val="005720F4"/>
    <w:rsid w:val="00586687"/>
    <w:rsid w:val="00597DC3"/>
    <w:rsid w:val="005B4B82"/>
    <w:rsid w:val="005C0919"/>
    <w:rsid w:val="005E23E2"/>
    <w:rsid w:val="00622284"/>
    <w:rsid w:val="0063347B"/>
    <w:rsid w:val="006360CF"/>
    <w:rsid w:val="00636987"/>
    <w:rsid w:val="00642FF0"/>
    <w:rsid w:val="00647E47"/>
    <w:rsid w:val="006602A0"/>
    <w:rsid w:val="00675C59"/>
    <w:rsid w:val="00684758"/>
    <w:rsid w:val="00684BC6"/>
    <w:rsid w:val="0069606C"/>
    <w:rsid w:val="00696C85"/>
    <w:rsid w:val="006A55ED"/>
    <w:rsid w:val="006A6DD8"/>
    <w:rsid w:val="006A7D1F"/>
    <w:rsid w:val="006B4543"/>
    <w:rsid w:val="006C44C2"/>
    <w:rsid w:val="006D4F53"/>
    <w:rsid w:val="006D762E"/>
    <w:rsid w:val="006E1D75"/>
    <w:rsid w:val="006E6384"/>
    <w:rsid w:val="006F7615"/>
    <w:rsid w:val="007118B6"/>
    <w:rsid w:val="00712C96"/>
    <w:rsid w:val="00715841"/>
    <w:rsid w:val="00725DFC"/>
    <w:rsid w:val="00726C6C"/>
    <w:rsid w:val="007377BF"/>
    <w:rsid w:val="00792444"/>
    <w:rsid w:val="007B0119"/>
    <w:rsid w:val="007C200D"/>
    <w:rsid w:val="007D387E"/>
    <w:rsid w:val="007E31F3"/>
    <w:rsid w:val="007F7DAA"/>
    <w:rsid w:val="008026CC"/>
    <w:rsid w:val="00817601"/>
    <w:rsid w:val="008208B8"/>
    <w:rsid w:val="00826EA5"/>
    <w:rsid w:val="00840E3B"/>
    <w:rsid w:val="00846E7E"/>
    <w:rsid w:val="00870063"/>
    <w:rsid w:val="00871C95"/>
    <w:rsid w:val="008A2822"/>
    <w:rsid w:val="008D35F5"/>
    <w:rsid w:val="008F5B1D"/>
    <w:rsid w:val="0092596E"/>
    <w:rsid w:val="00942D63"/>
    <w:rsid w:val="00951365"/>
    <w:rsid w:val="00970B94"/>
    <w:rsid w:val="009904C6"/>
    <w:rsid w:val="00993B24"/>
    <w:rsid w:val="009B416E"/>
    <w:rsid w:val="009C05E5"/>
    <w:rsid w:val="009E1D77"/>
    <w:rsid w:val="009E599D"/>
    <w:rsid w:val="009F5A6C"/>
    <w:rsid w:val="00A007DF"/>
    <w:rsid w:val="00A020F3"/>
    <w:rsid w:val="00A071AA"/>
    <w:rsid w:val="00A2180D"/>
    <w:rsid w:val="00A270FE"/>
    <w:rsid w:val="00A33FF7"/>
    <w:rsid w:val="00A35229"/>
    <w:rsid w:val="00A5012E"/>
    <w:rsid w:val="00A657DB"/>
    <w:rsid w:val="00A67035"/>
    <w:rsid w:val="00A74A6D"/>
    <w:rsid w:val="00A869BA"/>
    <w:rsid w:val="00AC3EA0"/>
    <w:rsid w:val="00AC753E"/>
    <w:rsid w:val="00AD22F2"/>
    <w:rsid w:val="00AD322F"/>
    <w:rsid w:val="00B124BA"/>
    <w:rsid w:val="00B13C35"/>
    <w:rsid w:val="00B24D5A"/>
    <w:rsid w:val="00B33B86"/>
    <w:rsid w:val="00B37964"/>
    <w:rsid w:val="00B405BC"/>
    <w:rsid w:val="00B57744"/>
    <w:rsid w:val="00B71DAE"/>
    <w:rsid w:val="00B9493B"/>
    <w:rsid w:val="00BE7810"/>
    <w:rsid w:val="00BF1C62"/>
    <w:rsid w:val="00C04F30"/>
    <w:rsid w:val="00C23A3D"/>
    <w:rsid w:val="00C32599"/>
    <w:rsid w:val="00C5782F"/>
    <w:rsid w:val="00C932E1"/>
    <w:rsid w:val="00CB493F"/>
    <w:rsid w:val="00CC6D6F"/>
    <w:rsid w:val="00CD77F4"/>
    <w:rsid w:val="00D108D0"/>
    <w:rsid w:val="00D17997"/>
    <w:rsid w:val="00D7237F"/>
    <w:rsid w:val="00D87037"/>
    <w:rsid w:val="00D932A9"/>
    <w:rsid w:val="00DB12D3"/>
    <w:rsid w:val="00DC1025"/>
    <w:rsid w:val="00E11A2E"/>
    <w:rsid w:val="00E502D8"/>
    <w:rsid w:val="00E62013"/>
    <w:rsid w:val="00E762F1"/>
    <w:rsid w:val="00E9331A"/>
    <w:rsid w:val="00E93C54"/>
    <w:rsid w:val="00EA09D7"/>
    <w:rsid w:val="00EA7D55"/>
    <w:rsid w:val="00EC0FD2"/>
    <w:rsid w:val="00EC32D6"/>
    <w:rsid w:val="00EE2FB6"/>
    <w:rsid w:val="00EF6187"/>
    <w:rsid w:val="00F10B57"/>
    <w:rsid w:val="00F12313"/>
    <w:rsid w:val="00F1656B"/>
    <w:rsid w:val="00F22094"/>
    <w:rsid w:val="00F27861"/>
    <w:rsid w:val="00F418F1"/>
    <w:rsid w:val="00F547EA"/>
    <w:rsid w:val="00F730E1"/>
    <w:rsid w:val="00F8363B"/>
    <w:rsid w:val="00F84AC8"/>
    <w:rsid w:val="00F90CAD"/>
    <w:rsid w:val="00FA36BD"/>
    <w:rsid w:val="00FA3B68"/>
    <w:rsid w:val="00FA6FCD"/>
    <w:rsid w:val="00FB4461"/>
    <w:rsid w:val="00FD4E35"/>
    <w:rsid w:val="00FD5C95"/>
    <w:rsid w:val="00FD6896"/>
    <w:rsid w:val="00FE1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63C25"/>
  <w15:docId w15:val="{DB23945B-BFF6-4D87-9199-1EB5B16C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5D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DF2"/>
    <w:rPr>
      <w:sz w:val="20"/>
      <w:szCs w:val="20"/>
    </w:rPr>
  </w:style>
  <w:style w:type="character" w:styleId="FootnoteReference">
    <w:name w:val="footnote reference"/>
    <w:basedOn w:val="DefaultParagraphFont"/>
    <w:uiPriority w:val="99"/>
    <w:semiHidden/>
    <w:unhideWhenUsed/>
    <w:rsid w:val="00325DF2"/>
    <w:rPr>
      <w:vertAlign w:val="superscript"/>
    </w:rPr>
  </w:style>
  <w:style w:type="character" w:styleId="Hyperlink">
    <w:name w:val="Hyperlink"/>
    <w:basedOn w:val="DefaultParagraphFont"/>
    <w:uiPriority w:val="99"/>
    <w:unhideWhenUsed/>
    <w:rsid w:val="000C2E33"/>
    <w:rPr>
      <w:color w:val="0563C1" w:themeColor="hyperlink"/>
      <w:u w:val="single"/>
    </w:rPr>
  </w:style>
  <w:style w:type="paragraph" w:styleId="ListParagraph">
    <w:name w:val="List Paragraph"/>
    <w:basedOn w:val="Normal"/>
    <w:uiPriority w:val="34"/>
    <w:qFormat/>
    <w:rsid w:val="001E3194"/>
    <w:pPr>
      <w:ind w:left="720"/>
      <w:contextualSpacing/>
    </w:pPr>
  </w:style>
  <w:style w:type="character" w:customStyle="1" w:styleId="UnresolvedMention1">
    <w:name w:val="Unresolved Mention1"/>
    <w:basedOn w:val="DefaultParagraphFont"/>
    <w:uiPriority w:val="99"/>
    <w:semiHidden/>
    <w:unhideWhenUsed/>
    <w:rsid w:val="00F22094"/>
    <w:rPr>
      <w:color w:val="605E5C"/>
      <w:shd w:val="clear" w:color="auto" w:fill="E1DFDD"/>
    </w:rPr>
  </w:style>
  <w:style w:type="paragraph" w:styleId="BalloonText">
    <w:name w:val="Balloon Text"/>
    <w:basedOn w:val="Normal"/>
    <w:link w:val="BalloonTextChar"/>
    <w:uiPriority w:val="99"/>
    <w:semiHidden/>
    <w:unhideWhenUsed/>
    <w:rsid w:val="004F36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66E"/>
    <w:rPr>
      <w:rFonts w:ascii="Segoe UI" w:hAnsi="Segoe UI" w:cs="Segoe UI"/>
      <w:sz w:val="18"/>
      <w:szCs w:val="18"/>
    </w:rPr>
  </w:style>
  <w:style w:type="paragraph" w:styleId="Header">
    <w:name w:val="header"/>
    <w:basedOn w:val="Normal"/>
    <w:link w:val="HeaderChar"/>
    <w:uiPriority w:val="99"/>
    <w:unhideWhenUsed/>
    <w:rsid w:val="007C20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0D"/>
  </w:style>
  <w:style w:type="paragraph" w:styleId="Footer">
    <w:name w:val="footer"/>
    <w:basedOn w:val="Normal"/>
    <w:link w:val="FooterChar"/>
    <w:uiPriority w:val="99"/>
    <w:unhideWhenUsed/>
    <w:rsid w:val="007C20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D26C1-C54E-497F-815F-304C7390B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admin</cp:lastModifiedBy>
  <cp:revision>2</cp:revision>
  <cp:lastPrinted>2025-05-15T05:41:00Z</cp:lastPrinted>
  <dcterms:created xsi:type="dcterms:W3CDTF">2025-05-26T08:31:00Z</dcterms:created>
  <dcterms:modified xsi:type="dcterms:W3CDTF">2025-05-26T08:31:00Z</dcterms:modified>
</cp:coreProperties>
</file>